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304"/>
        <w:gridCol w:w="45"/>
        <w:gridCol w:w="1198"/>
        <w:gridCol w:w="1276"/>
        <w:gridCol w:w="1417"/>
        <w:gridCol w:w="1418"/>
        <w:gridCol w:w="1275"/>
        <w:gridCol w:w="1417"/>
      </w:tblGrid>
      <w:tr w:rsidR="0044097D" w:rsidTr="0044097D">
        <w:tc>
          <w:tcPr>
            <w:tcW w:w="1349" w:type="dxa"/>
            <w:gridSpan w:val="2"/>
            <w:shd w:val="clear" w:color="auto" w:fill="E2EFD9" w:themeFill="accent6" w:themeFillTint="33"/>
          </w:tcPr>
          <w:p w:rsidR="0044097D" w:rsidRDefault="0044097D" w:rsidP="0044097D">
            <w:pPr>
              <w:tabs>
                <w:tab w:val="left" w:pos="9580"/>
              </w:tabs>
              <w:spacing w:before="120"/>
              <w:ind w:right="-136"/>
              <w:rPr>
                <w:noProof/>
              </w:rPr>
            </w:pPr>
          </w:p>
        </w:tc>
        <w:tc>
          <w:tcPr>
            <w:tcW w:w="8001" w:type="dxa"/>
            <w:gridSpan w:val="6"/>
            <w:shd w:val="clear" w:color="auto" w:fill="E2EFD9" w:themeFill="accent6" w:themeFillTint="33"/>
            <w:vAlign w:val="center"/>
          </w:tcPr>
          <w:p w:rsidR="0044097D" w:rsidRDefault="0044097D" w:rsidP="0044097D">
            <w:pPr>
              <w:tabs>
                <w:tab w:val="left" w:pos="9580"/>
              </w:tabs>
              <w:spacing w:before="120"/>
              <w:ind w:right="-136"/>
              <w:rPr>
                <w:rFonts w:ascii="Arial Narrow" w:hAnsi="Arial Narrow"/>
                <w:b/>
                <w:sz w:val="24"/>
                <w:szCs w:val="24"/>
                <w:lang w:eastAsia="en-AU"/>
              </w:rPr>
            </w:pPr>
            <w:r>
              <w:rPr>
                <w:noProof/>
              </w:rPr>
              <w:drawing>
                <wp:inline distT="0" distB="0" distL="0" distR="0" wp14:anchorId="7E03B268" wp14:editId="6EE0429B">
                  <wp:extent cx="8096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a:ln>
                            <a:noFill/>
                          </a:ln>
                        </pic:spPr>
                      </pic:pic>
                    </a:graphicData>
                  </a:graphic>
                </wp:inline>
              </w:drawing>
            </w:r>
            <w:r>
              <w:rPr>
                <w:rFonts w:ascii="Arial Narrow" w:hAnsi="Arial Narrow"/>
                <w:b/>
                <w:sz w:val="24"/>
                <w:szCs w:val="24"/>
                <w:lang w:eastAsia="en-AU"/>
              </w:rPr>
              <w:t xml:space="preserve">                                 VCE English Year 11</w:t>
            </w:r>
            <w:r w:rsidR="00BE258F">
              <w:rPr>
                <w:rFonts w:ascii="Arial Narrow" w:hAnsi="Arial Narrow"/>
                <w:b/>
                <w:sz w:val="24"/>
                <w:szCs w:val="24"/>
                <w:lang w:eastAsia="en-AU"/>
              </w:rPr>
              <w:t xml:space="preserve"> Unit 1</w:t>
            </w:r>
          </w:p>
          <w:p w:rsidR="0044097D" w:rsidRPr="0044097D" w:rsidRDefault="0044097D" w:rsidP="0044097D">
            <w:pPr>
              <w:tabs>
                <w:tab w:val="left" w:pos="9580"/>
              </w:tabs>
              <w:spacing w:before="120"/>
              <w:ind w:right="-136"/>
              <w:rPr>
                <w:rFonts w:ascii="Arial Narrow" w:hAnsi="Arial Narrow"/>
                <w:b/>
                <w:sz w:val="24"/>
                <w:szCs w:val="24"/>
                <w:lang w:eastAsia="en-AU"/>
              </w:rPr>
            </w:pPr>
            <w:r>
              <w:rPr>
                <w:rFonts w:ascii="Arial Narrow" w:hAnsi="Arial Narrow"/>
                <w:b/>
                <w:sz w:val="24"/>
                <w:szCs w:val="24"/>
                <w:lang w:eastAsia="en-AU"/>
              </w:rPr>
              <w:t xml:space="preserve">Outcome 2 </w:t>
            </w:r>
            <w:proofErr w:type="spellStart"/>
            <w:r>
              <w:rPr>
                <w:rFonts w:ascii="Arial Narrow" w:hAnsi="Arial Narrow"/>
                <w:b/>
                <w:sz w:val="24"/>
                <w:szCs w:val="24"/>
                <w:lang w:eastAsia="en-AU"/>
              </w:rPr>
              <w:t>Analysing</w:t>
            </w:r>
            <w:proofErr w:type="spellEnd"/>
            <w:r>
              <w:rPr>
                <w:rFonts w:ascii="Arial Narrow" w:hAnsi="Arial Narrow"/>
                <w:b/>
                <w:sz w:val="24"/>
                <w:szCs w:val="24"/>
                <w:lang w:eastAsia="en-AU"/>
              </w:rPr>
              <w:t xml:space="preserve"> and Presenting Argument SAC 3: Written Language Analysis</w:t>
            </w:r>
          </w:p>
        </w:tc>
      </w:tr>
      <w:tr w:rsidR="0044097D" w:rsidTr="0044097D">
        <w:tc>
          <w:tcPr>
            <w:tcW w:w="1349" w:type="dxa"/>
            <w:gridSpan w:val="2"/>
            <w:tcBorders>
              <w:bottom w:val="single" w:sz="4" w:space="0" w:color="auto"/>
            </w:tcBorders>
          </w:tcPr>
          <w:p w:rsidR="0044097D" w:rsidRDefault="0044097D" w:rsidP="00F31173">
            <w:pPr>
              <w:spacing w:before="60" w:after="60"/>
              <w:jc w:val="center"/>
              <w:rPr>
                <w:rFonts w:ascii="Arial Narrow" w:eastAsia="Calibri" w:hAnsi="Arial Narrow" w:cs="Cordia New"/>
                <w:b/>
              </w:rPr>
            </w:pPr>
          </w:p>
        </w:tc>
        <w:tc>
          <w:tcPr>
            <w:tcW w:w="8001" w:type="dxa"/>
            <w:gridSpan w:val="6"/>
            <w:tcBorders>
              <w:bottom w:val="single" w:sz="4" w:space="0" w:color="auto"/>
            </w:tcBorders>
            <w:vAlign w:val="center"/>
          </w:tcPr>
          <w:p w:rsidR="0044097D" w:rsidRDefault="0044097D" w:rsidP="00F31173">
            <w:pPr>
              <w:spacing w:before="60" w:after="60"/>
              <w:jc w:val="center"/>
            </w:pPr>
            <w:r>
              <w:rPr>
                <w:rFonts w:ascii="Arial Narrow" w:eastAsia="Calibri" w:hAnsi="Arial Narrow" w:cs="Cordia New"/>
                <w:b/>
              </w:rPr>
              <w:t>Name:</w:t>
            </w:r>
          </w:p>
        </w:tc>
      </w:tr>
      <w:tr w:rsidR="0044097D" w:rsidRPr="006770E6" w:rsidTr="0044097D">
        <w:tc>
          <w:tcPr>
            <w:tcW w:w="1349" w:type="dxa"/>
            <w:gridSpan w:val="2"/>
            <w:tcBorders>
              <w:left w:val="nil"/>
              <w:right w:val="nil"/>
            </w:tcBorders>
          </w:tcPr>
          <w:p w:rsidR="0044097D" w:rsidRPr="006770E6" w:rsidRDefault="0044097D" w:rsidP="00F31173">
            <w:pPr>
              <w:rPr>
                <w:sz w:val="12"/>
                <w:szCs w:val="12"/>
              </w:rPr>
            </w:pPr>
          </w:p>
        </w:tc>
        <w:tc>
          <w:tcPr>
            <w:tcW w:w="8001" w:type="dxa"/>
            <w:gridSpan w:val="6"/>
            <w:tcBorders>
              <w:left w:val="nil"/>
              <w:right w:val="nil"/>
            </w:tcBorders>
          </w:tcPr>
          <w:p w:rsidR="0044097D" w:rsidRPr="006770E6" w:rsidRDefault="0044097D" w:rsidP="00F31173">
            <w:pPr>
              <w:rPr>
                <w:sz w:val="12"/>
                <w:szCs w:val="12"/>
              </w:rPr>
            </w:pPr>
          </w:p>
        </w:tc>
      </w:tr>
      <w:tr w:rsidR="0044097D" w:rsidRPr="00EB20E2" w:rsidTr="0044097D">
        <w:tc>
          <w:tcPr>
            <w:tcW w:w="1304" w:type="dxa"/>
            <w:vMerge w:val="restart"/>
            <w:vAlign w:val="center"/>
          </w:tcPr>
          <w:p w:rsidR="0044097D" w:rsidRPr="0052614A" w:rsidRDefault="0044097D" w:rsidP="00F31173">
            <w:pPr>
              <w:rPr>
                <w:rFonts w:ascii="Arial Narrow" w:eastAsia="Calibri" w:hAnsi="Arial Narrow" w:cs="Cordia New"/>
                <w:b/>
                <w:bCs/>
                <w:i/>
                <w:iCs/>
                <w:color w:val="221E1F"/>
                <w:sz w:val="20"/>
                <w:szCs w:val="20"/>
              </w:rPr>
            </w:pPr>
            <w:r w:rsidRPr="0052614A">
              <w:rPr>
                <w:rFonts w:ascii="Arial Narrow" w:eastAsia="Calibri" w:hAnsi="Arial Narrow" w:cs="Cordia New"/>
                <w:b/>
                <w:bCs/>
                <w:i/>
                <w:iCs/>
                <w:color w:val="221E1F"/>
                <w:sz w:val="20"/>
                <w:szCs w:val="20"/>
              </w:rPr>
              <w:t xml:space="preserve">Unit </w:t>
            </w:r>
            <w:r w:rsidR="00BE258F">
              <w:rPr>
                <w:rFonts w:ascii="Arial Narrow" w:eastAsia="Calibri" w:hAnsi="Arial Narrow" w:cs="Cordia New"/>
                <w:b/>
                <w:bCs/>
                <w:i/>
                <w:iCs/>
                <w:color w:val="221E1F"/>
                <w:sz w:val="20"/>
                <w:szCs w:val="20"/>
              </w:rPr>
              <w:t>1</w:t>
            </w:r>
            <w:bookmarkStart w:id="0" w:name="_GoBack"/>
            <w:bookmarkEnd w:id="0"/>
          </w:p>
          <w:p w:rsidR="0044097D" w:rsidRPr="0052614A" w:rsidRDefault="0044097D" w:rsidP="00F31173">
            <w:pPr>
              <w:spacing w:after="120"/>
              <w:rPr>
                <w:rFonts w:ascii="Arial Narrow" w:eastAsia="Calibri" w:hAnsi="Arial Narrow" w:cs="Cordia New"/>
                <w:b/>
                <w:bCs/>
                <w:i/>
                <w:iCs/>
                <w:color w:val="221E1F"/>
                <w:sz w:val="20"/>
                <w:szCs w:val="20"/>
              </w:rPr>
            </w:pPr>
            <w:r w:rsidRPr="0052614A">
              <w:rPr>
                <w:rFonts w:ascii="Arial Narrow" w:eastAsia="Calibri" w:hAnsi="Arial Narrow" w:cs="Cordia New"/>
                <w:b/>
                <w:bCs/>
                <w:i/>
                <w:iCs/>
                <w:color w:val="221E1F"/>
                <w:sz w:val="20"/>
                <w:szCs w:val="20"/>
              </w:rPr>
              <w:t xml:space="preserve">Outcome </w:t>
            </w:r>
            <w:r>
              <w:rPr>
                <w:rFonts w:ascii="Arial Narrow" w:eastAsia="Calibri" w:hAnsi="Arial Narrow" w:cs="Cordia New"/>
                <w:b/>
                <w:bCs/>
                <w:i/>
                <w:iCs/>
                <w:color w:val="221E1F"/>
                <w:sz w:val="20"/>
                <w:szCs w:val="20"/>
              </w:rPr>
              <w:t>2</w:t>
            </w:r>
            <w:r w:rsidRPr="0052614A">
              <w:rPr>
                <w:rFonts w:ascii="Arial Narrow" w:eastAsia="Calibri" w:hAnsi="Arial Narrow" w:cs="Cordia New"/>
                <w:b/>
                <w:bCs/>
                <w:i/>
                <w:iCs/>
                <w:color w:val="221E1F"/>
                <w:sz w:val="20"/>
                <w:szCs w:val="20"/>
              </w:rPr>
              <w:t xml:space="preserve"> </w:t>
            </w:r>
          </w:p>
          <w:p w:rsidR="0044097D" w:rsidRPr="00AD154F" w:rsidRDefault="0044097D" w:rsidP="00F31173">
            <w:pPr>
              <w:spacing w:before="120" w:after="120"/>
              <w:rPr>
                <w:rFonts w:ascii="Arial Narrow" w:hAnsi="Arial Narrow"/>
                <w:i/>
              </w:rPr>
            </w:pPr>
            <w:r w:rsidRPr="00AD154F">
              <w:rPr>
                <w:rFonts w:ascii="Arial Narrow" w:hAnsi="Arial Narrow"/>
                <w:b/>
                <w:i/>
                <w:sz w:val="18"/>
                <w:szCs w:val="18"/>
                <w:lang w:val="en-AU"/>
              </w:rPr>
              <w:t>Analyse and compare the use of argument and persuasive language in texts that present a point of view on an issue currently debated in the media.</w:t>
            </w:r>
          </w:p>
        </w:tc>
        <w:tc>
          <w:tcPr>
            <w:tcW w:w="1243" w:type="dxa"/>
            <w:gridSpan w:val="2"/>
          </w:tcPr>
          <w:p w:rsidR="0044097D" w:rsidRPr="00EB20E2" w:rsidRDefault="0044097D" w:rsidP="00F31173">
            <w:pPr>
              <w:spacing w:before="120" w:after="120"/>
              <w:jc w:val="center"/>
              <w:rPr>
                <w:rFonts w:ascii="Arial Narrow" w:eastAsia="Calibri" w:hAnsi="Arial Narrow"/>
                <w:b/>
                <w:lang w:val="en-AU"/>
              </w:rPr>
            </w:pPr>
          </w:p>
        </w:tc>
        <w:tc>
          <w:tcPr>
            <w:tcW w:w="6803" w:type="dxa"/>
            <w:gridSpan w:val="5"/>
            <w:vAlign w:val="center"/>
          </w:tcPr>
          <w:p w:rsidR="0044097D" w:rsidRPr="00EB20E2" w:rsidRDefault="0044097D" w:rsidP="00F31173">
            <w:pPr>
              <w:spacing w:before="120" w:after="120"/>
              <w:jc w:val="center"/>
              <w:rPr>
                <w:rFonts w:ascii="Arial Narrow" w:hAnsi="Arial Narrow"/>
              </w:rPr>
            </w:pPr>
            <w:r w:rsidRPr="00EB20E2">
              <w:rPr>
                <w:rFonts w:ascii="Arial Narrow" w:eastAsia="Calibri" w:hAnsi="Arial Narrow"/>
                <w:b/>
                <w:lang w:val="en-AU"/>
              </w:rPr>
              <w:t>DESCRIPTOR: typical performance in each range</w:t>
            </w:r>
          </w:p>
        </w:tc>
      </w:tr>
      <w:tr w:rsidR="0044097D" w:rsidRPr="0052614A" w:rsidTr="0044097D">
        <w:tc>
          <w:tcPr>
            <w:tcW w:w="1304" w:type="dxa"/>
            <w:vMerge/>
            <w:vAlign w:val="center"/>
          </w:tcPr>
          <w:p w:rsidR="0044097D" w:rsidRDefault="0044097D" w:rsidP="00F31173">
            <w:pPr>
              <w:spacing w:before="120" w:after="120"/>
            </w:pPr>
          </w:p>
        </w:tc>
        <w:tc>
          <w:tcPr>
            <w:tcW w:w="1243" w:type="dxa"/>
            <w:gridSpan w:val="2"/>
          </w:tcPr>
          <w:p w:rsidR="0044097D" w:rsidRPr="0052614A" w:rsidRDefault="0044097D" w:rsidP="00F31173">
            <w:pPr>
              <w:spacing w:before="120" w:after="120"/>
              <w:jc w:val="center"/>
              <w:rPr>
                <w:rFonts w:ascii="Arial Narrow" w:hAnsi="Arial Narrow" w:cs="Arial"/>
                <w:b/>
                <w:bCs/>
                <w:sz w:val="20"/>
                <w:szCs w:val="20"/>
                <w:lang w:eastAsia="en-AU"/>
              </w:rPr>
            </w:pPr>
            <w:r>
              <w:rPr>
                <w:rFonts w:ascii="Arial Narrow" w:hAnsi="Arial Narrow" w:cs="Arial"/>
                <w:b/>
                <w:bCs/>
                <w:sz w:val="20"/>
                <w:szCs w:val="20"/>
                <w:lang w:eastAsia="en-AU"/>
              </w:rPr>
              <w:t>Ungraded</w:t>
            </w:r>
          </w:p>
        </w:tc>
        <w:tc>
          <w:tcPr>
            <w:tcW w:w="1276" w:type="dxa"/>
            <w:vAlign w:val="center"/>
          </w:tcPr>
          <w:p w:rsidR="0044097D" w:rsidRPr="0052614A" w:rsidRDefault="0044097D" w:rsidP="00F31173">
            <w:pPr>
              <w:spacing w:before="120" w:after="120"/>
              <w:jc w:val="center"/>
              <w:rPr>
                <w:rFonts w:ascii="Arial Narrow" w:hAnsi="Arial Narrow"/>
              </w:rPr>
            </w:pPr>
            <w:r w:rsidRPr="0052614A">
              <w:rPr>
                <w:rFonts w:ascii="Arial Narrow" w:hAnsi="Arial Narrow" w:cs="Arial"/>
                <w:b/>
                <w:bCs/>
                <w:sz w:val="20"/>
                <w:szCs w:val="20"/>
                <w:lang w:eastAsia="en-AU"/>
              </w:rPr>
              <w:t>Very low</w:t>
            </w:r>
          </w:p>
        </w:tc>
        <w:tc>
          <w:tcPr>
            <w:tcW w:w="1417"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bCs/>
                <w:sz w:val="20"/>
                <w:szCs w:val="20"/>
              </w:rPr>
              <w:t>Low</w:t>
            </w:r>
          </w:p>
        </w:tc>
        <w:tc>
          <w:tcPr>
            <w:tcW w:w="1418"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sz w:val="20"/>
                <w:szCs w:val="20"/>
              </w:rPr>
              <w:t>Medium</w:t>
            </w:r>
          </w:p>
        </w:tc>
        <w:tc>
          <w:tcPr>
            <w:tcW w:w="1275"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bCs/>
                <w:sz w:val="20"/>
                <w:szCs w:val="20"/>
              </w:rPr>
              <w:t>High</w:t>
            </w:r>
          </w:p>
        </w:tc>
        <w:tc>
          <w:tcPr>
            <w:tcW w:w="1417" w:type="dxa"/>
            <w:vAlign w:val="center"/>
          </w:tcPr>
          <w:p w:rsidR="0044097D" w:rsidRPr="0052614A" w:rsidRDefault="0044097D" w:rsidP="00F31173">
            <w:pPr>
              <w:spacing w:before="120" w:after="120"/>
              <w:jc w:val="center"/>
              <w:rPr>
                <w:rFonts w:ascii="Arial Narrow" w:hAnsi="Arial Narrow"/>
              </w:rPr>
            </w:pPr>
            <w:r w:rsidRPr="0052614A">
              <w:rPr>
                <w:rFonts w:ascii="Arial Narrow" w:eastAsia="Calibri" w:hAnsi="Arial Narrow" w:cs="Arial"/>
                <w:b/>
                <w:sz w:val="20"/>
                <w:szCs w:val="20"/>
              </w:rPr>
              <w:t>Very high</w:t>
            </w:r>
          </w:p>
        </w:tc>
      </w:tr>
      <w:tr w:rsidR="0044097D" w:rsidRPr="003B369D" w:rsidTr="0044097D">
        <w:tc>
          <w:tcPr>
            <w:tcW w:w="1304" w:type="dxa"/>
            <w:vMerge/>
            <w:vAlign w:val="center"/>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understanding of the arguments presented in the texts showing little to no awareness of how they have been constructed to position audiences.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understanding of the arguments presented in the texts showing limited awareness of how they have been constructed to position audiences.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Some understanding of the arguments presented in the texts showing some awareness of how they have been constructed to position audiences.</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Sound and clear understanding of the arguments presented in the texts and how they have been constructed to position audiences.</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Detailed and accurate understanding of the arguments presented in the texts and how they have been constructed to position audiences.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Comprehensive and complex understanding of the arguments presented in the texts and how they have been constructed to position audiences.</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analysis and comparison of arguments with little to no reference to the texts.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analysis and comparison of arguments with some reference to the texts.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Some analysis and comparison of arguments with limited discussion of the intent and development of the arguments, persuasive use of language and the impact of the texts. Some use of textual evidence to justify the analysis.</w:t>
            </w:r>
          </w:p>
        </w:tc>
        <w:tc>
          <w:tcPr>
            <w:tcW w:w="1418" w:type="dxa"/>
          </w:tcPr>
          <w:p w:rsidR="0044097D" w:rsidRPr="003B369D" w:rsidRDefault="0044097D" w:rsidP="00F31173">
            <w:pPr>
              <w:pStyle w:val="VCAAtablecondensed"/>
              <w:spacing w:line="240" w:lineRule="auto"/>
              <w:rPr>
                <w:sz w:val="16"/>
                <w:szCs w:val="16"/>
              </w:rPr>
            </w:pPr>
            <w:r>
              <w:rPr>
                <w:sz w:val="16"/>
                <w:szCs w:val="16"/>
              </w:rPr>
              <w:t>Clear and appropriate a</w:t>
            </w:r>
            <w:r w:rsidRPr="003B369D">
              <w:rPr>
                <w:sz w:val="16"/>
                <w:szCs w:val="16"/>
              </w:rPr>
              <w:t>nalysis and comparison of arguments with broad discussion of the intent and development of the arguments, persuasive use of language and the impact of the texts. Suitable use of textual evidence to justify the analysis.</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Detailed and careful analysis and comparison of arguments with thoughtful discussion of the intent and development of the arguments, persuasive use of language and the impact of the texts. Careful use of textual evidence to justify the analysis.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Sophisticated and insightful analysis and comparison of arguments with complex discussion of the intent and development of the arguments, persuasive use of language and the impact of the texts. Considered and accurate use of textual evidence to justify the analysis.</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 xml:space="preserve">Little to no control of the features of comparative analysis. </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Limited control of the features of comparative analysis.</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 xml:space="preserve">Some control of the features of comparative analysis, including the use of structure, conventions and language, including the use of </w:t>
            </w:r>
            <w:proofErr w:type="spellStart"/>
            <w:r w:rsidRPr="003B369D">
              <w:rPr>
                <w:sz w:val="16"/>
                <w:szCs w:val="16"/>
              </w:rPr>
              <w:t>metalanguage</w:t>
            </w:r>
            <w:proofErr w:type="spellEnd"/>
            <w:r w:rsidRPr="003B369D">
              <w:rPr>
                <w:sz w:val="16"/>
                <w:szCs w:val="16"/>
              </w:rPr>
              <w:t>.</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 xml:space="preserve">Sound control of the features of comparative analysis, including the appropriate use of structure, conventions and language, including the use of relevant </w:t>
            </w:r>
            <w:proofErr w:type="spellStart"/>
            <w:r w:rsidRPr="003B369D">
              <w:rPr>
                <w:sz w:val="16"/>
                <w:szCs w:val="16"/>
              </w:rPr>
              <w:t>metalanguage</w:t>
            </w:r>
            <w:proofErr w:type="spellEnd"/>
            <w:r w:rsidRPr="003B369D">
              <w:rPr>
                <w:sz w:val="16"/>
                <w:szCs w:val="16"/>
              </w:rPr>
              <w:t>.</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 xml:space="preserve">Careful control of the features of comparative analysis, including the careful use of structure, conventions and language, including the use of relevant </w:t>
            </w:r>
            <w:proofErr w:type="spellStart"/>
            <w:r w:rsidRPr="003B369D">
              <w:rPr>
                <w:sz w:val="16"/>
                <w:szCs w:val="16"/>
              </w:rPr>
              <w:t>metalanguage</w:t>
            </w:r>
            <w:proofErr w:type="spellEnd"/>
            <w:r w:rsidRPr="003B369D">
              <w:rPr>
                <w:sz w:val="16"/>
                <w:szCs w:val="16"/>
              </w:rPr>
              <w:t>.</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 xml:space="preserve">Skilful control of the features of comparative analysis, including the highly proficient use of structure, conventions and language, including the use of relevant </w:t>
            </w:r>
            <w:proofErr w:type="spellStart"/>
            <w:r w:rsidRPr="003B369D">
              <w:rPr>
                <w:sz w:val="16"/>
                <w:szCs w:val="16"/>
              </w:rPr>
              <w:t>metalanguage</w:t>
            </w:r>
            <w:proofErr w:type="spellEnd"/>
            <w:r w:rsidRPr="003B369D">
              <w:rPr>
                <w:sz w:val="16"/>
                <w:szCs w:val="16"/>
              </w:rPr>
              <w:t>.</w:t>
            </w:r>
          </w:p>
        </w:tc>
      </w:tr>
      <w:tr w:rsidR="0044097D" w:rsidRPr="003B369D" w:rsidTr="0044097D">
        <w:tc>
          <w:tcPr>
            <w:tcW w:w="1304" w:type="dxa"/>
            <w:vMerge/>
          </w:tcPr>
          <w:p w:rsidR="0044097D" w:rsidRDefault="0044097D" w:rsidP="00F31173"/>
        </w:tc>
        <w:tc>
          <w:tcPr>
            <w:tcW w:w="1243" w:type="dxa"/>
            <w:gridSpan w:val="2"/>
          </w:tcPr>
          <w:p w:rsidR="0044097D" w:rsidRPr="003B369D" w:rsidRDefault="0044097D" w:rsidP="00F31173">
            <w:pPr>
              <w:pStyle w:val="VCAAtablecondensed"/>
              <w:spacing w:line="240" w:lineRule="auto"/>
              <w:rPr>
                <w:sz w:val="16"/>
                <w:szCs w:val="16"/>
              </w:rPr>
            </w:pPr>
            <w:r>
              <w:rPr>
                <w:sz w:val="16"/>
                <w:szCs w:val="16"/>
              </w:rPr>
              <w:t>Written language that shows little to no control of spelling, punctuation and syntax of Standard Australian English.</w:t>
            </w:r>
          </w:p>
        </w:tc>
        <w:tc>
          <w:tcPr>
            <w:tcW w:w="1276" w:type="dxa"/>
          </w:tcPr>
          <w:p w:rsidR="0044097D" w:rsidRPr="003B369D" w:rsidRDefault="0044097D" w:rsidP="00F31173">
            <w:pPr>
              <w:pStyle w:val="VCAAtablecondensed"/>
              <w:spacing w:line="240" w:lineRule="auto"/>
              <w:rPr>
                <w:sz w:val="16"/>
                <w:szCs w:val="16"/>
              </w:rPr>
            </w:pPr>
            <w:r w:rsidRPr="003B369D">
              <w:rPr>
                <w:sz w:val="16"/>
                <w:szCs w:val="16"/>
              </w:rPr>
              <w:t>Written language that shows limited control of spelling, punctuation and syntax of Standard Australian English.</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Mostly clear written language that employs some conventions of spelling, punctuation and syntax of Standard Australian English.</w:t>
            </w:r>
          </w:p>
        </w:tc>
        <w:tc>
          <w:tcPr>
            <w:tcW w:w="1418" w:type="dxa"/>
          </w:tcPr>
          <w:p w:rsidR="0044097D" w:rsidRPr="003B369D" w:rsidRDefault="0044097D" w:rsidP="00F31173">
            <w:pPr>
              <w:pStyle w:val="VCAAtablecondensed"/>
              <w:spacing w:line="240" w:lineRule="auto"/>
              <w:rPr>
                <w:sz w:val="16"/>
                <w:szCs w:val="16"/>
              </w:rPr>
            </w:pPr>
            <w:r w:rsidRPr="003B369D">
              <w:rPr>
                <w:sz w:val="16"/>
                <w:szCs w:val="16"/>
              </w:rPr>
              <w:t>Generally fluent and coherent written language that employs the appropriate use of spelling, punctuation and syntax of Standard Australian English.</w:t>
            </w:r>
          </w:p>
        </w:tc>
        <w:tc>
          <w:tcPr>
            <w:tcW w:w="1275" w:type="dxa"/>
          </w:tcPr>
          <w:p w:rsidR="0044097D" w:rsidRPr="003B369D" w:rsidRDefault="0044097D" w:rsidP="00F31173">
            <w:pPr>
              <w:pStyle w:val="VCAAtablecondensed"/>
              <w:spacing w:line="240" w:lineRule="auto"/>
              <w:rPr>
                <w:sz w:val="16"/>
                <w:szCs w:val="16"/>
              </w:rPr>
            </w:pPr>
            <w:r w:rsidRPr="003B369D">
              <w:rPr>
                <w:sz w:val="16"/>
                <w:szCs w:val="16"/>
              </w:rPr>
              <w:t>Expressive, fluent and coherent written language that employs the appropriate and accurate use of spelling, punctuation and syntax of Standard Australian English.</w:t>
            </w:r>
          </w:p>
        </w:tc>
        <w:tc>
          <w:tcPr>
            <w:tcW w:w="1417" w:type="dxa"/>
          </w:tcPr>
          <w:p w:rsidR="0044097D" w:rsidRPr="003B369D" w:rsidRDefault="0044097D" w:rsidP="00F31173">
            <w:pPr>
              <w:pStyle w:val="VCAAtablecondensed"/>
              <w:spacing w:line="240" w:lineRule="auto"/>
              <w:rPr>
                <w:sz w:val="16"/>
                <w:szCs w:val="16"/>
              </w:rPr>
            </w:pPr>
            <w:r w:rsidRPr="003B369D">
              <w:rPr>
                <w:sz w:val="16"/>
                <w:szCs w:val="16"/>
              </w:rPr>
              <w:t>Highly expressive, fluent and coherent written language that employs the skilful and accurate use of spelling, punctuation and syntax of Standard Australian English.</w:t>
            </w:r>
          </w:p>
        </w:tc>
      </w:tr>
    </w:tbl>
    <w:p w:rsidR="007E21E5" w:rsidRDefault="0044097D">
      <w:r>
        <w:t>Comments and Suggestions</w:t>
      </w:r>
    </w:p>
    <w:sectPr w:rsidR="007E21E5" w:rsidSect="0044097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7D"/>
    <w:rsid w:val="0044097D"/>
    <w:rsid w:val="007E21E5"/>
    <w:rsid w:val="00BE2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B2640-9E6D-41A3-9D21-678DE4E96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09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AAtablecondensed">
    <w:name w:val="VCAA table condensed"/>
    <w:qFormat/>
    <w:rsid w:val="0044097D"/>
    <w:pPr>
      <w:spacing w:before="80" w:after="80" w:line="240" w:lineRule="exact"/>
    </w:pPr>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2</cp:revision>
  <dcterms:created xsi:type="dcterms:W3CDTF">2015-11-02T04:00:00Z</dcterms:created>
  <dcterms:modified xsi:type="dcterms:W3CDTF">2015-11-02T04:29:00Z</dcterms:modified>
</cp:coreProperties>
</file>